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Agenda Jefferson County Fair Association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1/11/24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6:30pm Art Building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Quorum check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Treasurer’s report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Community Build - Debbie Steel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Pumptrack - Joe Johnson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Gatheringplace - Kate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Sound Stage - Tobi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Solstice Party report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Bylaws - Still with County Attorney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County Funding - Kate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Campground check in - (10 day rule, camphost, signage. How can the board support?)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Managers Report (robotics moved in….)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Review articles of incorporation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Voting on new board application Anji Scalf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Agenda input for retreat on 1/27/24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